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8C" w:rsidRPr="00FD7F67" w:rsidRDefault="00003F8C" w:rsidP="00003F8C">
      <w:pPr>
        <w:ind w:right="2952"/>
        <w:jc w:val="center"/>
        <w:rPr>
          <w:b/>
          <w:color w:val="000000"/>
          <w:kern w:val="28"/>
          <w:sz w:val="32"/>
          <w:szCs w:val="32"/>
        </w:rPr>
      </w:pPr>
      <w:r w:rsidRPr="00FD7F67">
        <w:rPr>
          <w:noProof/>
          <w:color w:val="000000"/>
          <w:kern w:val="28"/>
          <w:lang w:eastAsia="fr-FR"/>
        </w:rPr>
        <mc:AlternateContent>
          <mc:Choice Requires="wps">
            <w:drawing>
              <wp:anchor distT="45720" distB="45720" distL="114300" distR="114300" simplePos="0" relativeHeight="251661312" behindDoc="0" locked="0" layoutInCell="1" allowOverlap="1" wp14:anchorId="0DE9B1AF" wp14:editId="5952431D">
                <wp:simplePos x="0" y="0"/>
                <wp:positionH relativeFrom="column">
                  <wp:posOffset>1852295</wp:posOffset>
                </wp:positionH>
                <wp:positionV relativeFrom="paragraph">
                  <wp:posOffset>114300</wp:posOffset>
                </wp:positionV>
                <wp:extent cx="2810510" cy="1362710"/>
                <wp:effectExtent l="0" t="0" r="0" b="19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F8C" w:rsidRDefault="00003F8C" w:rsidP="00003F8C">
                            <w:pPr>
                              <w:jc w:val="center"/>
                            </w:pPr>
                            <w:r w:rsidRPr="00ED22C3">
                              <w:rPr>
                                <w:b/>
                                <w:sz w:val="32"/>
                                <w:szCs w:val="32"/>
                              </w:rPr>
                              <w:t>Mairie de Bénévent l’Abbaye</w:t>
                            </w:r>
                          </w:p>
                          <w:p w:rsidR="00003F8C" w:rsidRDefault="00003F8C" w:rsidP="00003F8C">
                            <w:pPr>
                              <w:pStyle w:val="msoaddress"/>
                              <w:jc w:val="center"/>
                              <w:rPr>
                                <w:rFonts w:ascii="Times New Roman"/>
                                <w:i/>
                                <w:sz w:val="20"/>
                                <w:szCs w:val="20"/>
                              </w:rPr>
                            </w:pPr>
                          </w:p>
                          <w:p w:rsidR="00003F8C" w:rsidRDefault="00003F8C" w:rsidP="00003F8C">
                            <w:pPr>
                              <w:pStyle w:val="msoaddress"/>
                              <w:jc w:val="center"/>
                              <w:rPr>
                                <w:rFonts w:ascii="Times New Roman"/>
                                <w:i/>
                                <w:sz w:val="20"/>
                                <w:szCs w:val="20"/>
                              </w:rPr>
                            </w:pPr>
                            <w:r>
                              <w:rPr>
                                <w:rFonts w:ascii="Times New Roman"/>
                                <w:i/>
                                <w:sz w:val="20"/>
                                <w:szCs w:val="20"/>
                              </w:rPr>
                              <w:t>1 rue Sarrazine</w:t>
                            </w:r>
                          </w:p>
                          <w:p w:rsidR="00003F8C" w:rsidRPr="00196732" w:rsidRDefault="00003F8C" w:rsidP="00003F8C">
                            <w:pPr>
                              <w:pStyle w:val="msoaddress"/>
                              <w:jc w:val="center"/>
                              <w:rPr>
                                <w:rFonts w:ascii="Times New Roman"/>
                                <w:i/>
                                <w:sz w:val="20"/>
                                <w:szCs w:val="20"/>
                                <w:lang w:val="en-US"/>
                              </w:rPr>
                            </w:pPr>
                            <w:r w:rsidRPr="00196732">
                              <w:rPr>
                                <w:rFonts w:ascii="Times New Roman"/>
                                <w:i/>
                                <w:sz w:val="20"/>
                                <w:szCs w:val="20"/>
                                <w:lang w:val="en-US"/>
                              </w:rPr>
                              <w:t>23210 BENEVENT L’ABBAYE</w:t>
                            </w:r>
                          </w:p>
                          <w:p w:rsidR="00003F8C" w:rsidRPr="00196732" w:rsidRDefault="00003F8C" w:rsidP="00003F8C">
                            <w:pPr>
                              <w:pStyle w:val="msoaddress"/>
                              <w:jc w:val="center"/>
                              <w:rPr>
                                <w:rFonts w:ascii="Times New Roman"/>
                                <w:i/>
                                <w:sz w:val="20"/>
                                <w:szCs w:val="20"/>
                                <w:lang w:val="en-US"/>
                              </w:rPr>
                            </w:pPr>
                            <w:r w:rsidRPr="00196732">
                              <w:rPr>
                                <w:rFonts w:ascii="Times New Roman"/>
                                <w:i/>
                                <w:sz w:val="20"/>
                                <w:szCs w:val="20"/>
                                <w:u w:val="single"/>
                                <w:lang w:val="en-US"/>
                              </w:rPr>
                              <w:t>Tél</w:t>
                            </w:r>
                            <w:r w:rsidRPr="00196732">
                              <w:rPr>
                                <w:rFonts w:ascii="Times New Roman"/>
                                <w:i/>
                                <w:sz w:val="20"/>
                                <w:szCs w:val="20"/>
                                <w:lang w:val="en-US"/>
                              </w:rPr>
                              <w:t>: 05 55 62 61 43</w:t>
                            </w:r>
                          </w:p>
                          <w:p w:rsidR="00003F8C" w:rsidRDefault="00003F8C" w:rsidP="00003F8C">
                            <w:pPr>
                              <w:pStyle w:val="msoaddress"/>
                              <w:jc w:val="center"/>
                              <w:rPr>
                                <w:rFonts w:ascii="Times New Roman"/>
                                <w:i/>
                                <w:sz w:val="20"/>
                                <w:szCs w:val="20"/>
                                <w:u w:val="single"/>
                                <w:lang w:val="de-DE"/>
                              </w:rPr>
                            </w:pPr>
                          </w:p>
                          <w:p w:rsidR="00003F8C" w:rsidRPr="00196732" w:rsidRDefault="00003F8C" w:rsidP="00003F8C">
                            <w:pPr>
                              <w:pStyle w:val="msoaddress"/>
                              <w:jc w:val="center"/>
                              <w:rPr>
                                <w:rFonts w:ascii="Times New Roman"/>
                                <w:i/>
                                <w:sz w:val="20"/>
                                <w:szCs w:val="20"/>
                                <w:lang w:val="en-US"/>
                              </w:rPr>
                            </w:pPr>
                            <w:r>
                              <w:rPr>
                                <w:rFonts w:ascii="Times New Roman"/>
                                <w:i/>
                                <w:sz w:val="20"/>
                                <w:szCs w:val="20"/>
                                <w:u w:val="single"/>
                                <w:lang w:val="de-DE"/>
                              </w:rPr>
                              <w:t>Email</w:t>
                            </w:r>
                            <w:r>
                              <w:rPr>
                                <w:rFonts w:ascii="Times New Roman"/>
                                <w:i/>
                                <w:sz w:val="20"/>
                                <w:szCs w:val="20"/>
                                <w:lang w:val="de-DE"/>
                              </w:rPr>
                              <w:t xml:space="preserve"> : </w:t>
                            </w:r>
                            <w:hyperlink r:id="rId5" w:history="1">
                              <w:r>
                                <w:rPr>
                                  <w:rStyle w:val="Lienhypertexte"/>
                                  <w:i/>
                                  <w:lang w:val="de-DE"/>
                                </w:rPr>
                                <w:t>mairie.benevent@gmail.com</w:t>
                              </w:r>
                            </w:hyperlink>
                          </w:p>
                          <w:p w:rsidR="00003F8C" w:rsidRPr="00ED22C3" w:rsidRDefault="00003F8C" w:rsidP="00003F8C">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9B1AF" id="_x0000_t202" coordsize="21600,21600" o:spt="202" path="m,l,21600r21600,l21600,xe">
                <v:stroke joinstyle="miter"/>
                <v:path gradientshapeok="t" o:connecttype="rect"/>
              </v:shapetype>
              <v:shape id="Zone de texte 9" o:spid="_x0000_s1026" type="#_x0000_t202" style="position:absolute;left:0;text-align:left;margin-left:145.85pt;margin-top:9pt;width:221.3pt;height:10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" stroked="f">
                <v:textbox>
                  <w:txbxContent>
                    <w:p w:rsidR="00003F8C" w:rsidRDefault="00003F8C" w:rsidP="00003F8C">
                      <w:pPr>
                        <w:jc w:val="center"/>
                      </w:pPr>
                      <w:r w:rsidRPr="00ED22C3">
                        <w:rPr>
                          <w:b/>
                          <w:sz w:val="32"/>
                          <w:szCs w:val="32"/>
                        </w:rPr>
                        <w:t>Mairie de Bénévent l’Abbaye</w:t>
                      </w:r>
                    </w:p>
                    <w:p w:rsidR="00003F8C" w:rsidRDefault="00003F8C" w:rsidP="00003F8C">
                      <w:pPr>
                        <w:pStyle w:val="msoaddress"/>
                        <w:jc w:val="center"/>
                        <w:rPr>
                          <w:rFonts w:ascii="Times New Roman"/>
                          <w:i/>
                          <w:sz w:val="20"/>
                          <w:szCs w:val="20"/>
                        </w:rPr>
                      </w:pPr>
                    </w:p>
                    <w:p w:rsidR="00003F8C" w:rsidRDefault="00003F8C" w:rsidP="00003F8C">
                      <w:pPr>
                        <w:pStyle w:val="msoaddress"/>
                        <w:jc w:val="center"/>
                        <w:rPr>
                          <w:rFonts w:ascii="Times New Roman"/>
                          <w:i/>
                          <w:sz w:val="20"/>
                          <w:szCs w:val="20"/>
                        </w:rPr>
                      </w:pPr>
                      <w:r>
                        <w:rPr>
                          <w:rFonts w:ascii="Times New Roman"/>
                          <w:i/>
                          <w:sz w:val="20"/>
                          <w:szCs w:val="20"/>
                        </w:rPr>
                        <w:t>1 rue Sarrazine</w:t>
                      </w:r>
                    </w:p>
                    <w:p w:rsidR="00003F8C" w:rsidRPr="00196732" w:rsidRDefault="00003F8C" w:rsidP="00003F8C">
                      <w:pPr>
                        <w:pStyle w:val="msoaddress"/>
                        <w:jc w:val="center"/>
                        <w:rPr>
                          <w:rFonts w:ascii="Times New Roman"/>
                          <w:i/>
                          <w:sz w:val="20"/>
                          <w:szCs w:val="20"/>
                          <w:lang w:val="en-US"/>
                        </w:rPr>
                      </w:pPr>
                      <w:r w:rsidRPr="00196732">
                        <w:rPr>
                          <w:rFonts w:ascii="Times New Roman"/>
                          <w:i/>
                          <w:sz w:val="20"/>
                          <w:szCs w:val="20"/>
                          <w:lang w:val="en-US"/>
                        </w:rPr>
                        <w:t>23210 BENEVENT L’ABBAYE</w:t>
                      </w:r>
                    </w:p>
                    <w:p w:rsidR="00003F8C" w:rsidRPr="00196732" w:rsidRDefault="00003F8C" w:rsidP="00003F8C">
                      <w:pPr>
                        <w:pStyle w:val="msoaddress"/>
                        <w:jc w:val="center"/>
                        <w:rPr>
                          <w:rFonts w:ascii="Times New Roman"/>
                          <w:i/>
                          <w:sz w:val="20"/>
                          <w:szCs w:val="20"/>
                          <w:lang w:val="en-US"/>
                        </w:rPr>
                      </w:pPr>
                      <w:r w:rsidRPr="00196732">
                        <w:rPr>
                          <w:rFonts w:ascii="Times New Roman"/>
                          <w:i/>
                          <w:sz w:val="20"/>
                          <w:szCs w:val="20"/>
                          <w:u w:val="single"/>
                          <w:lang w:val="en-US"/>
                        </w:rPr>
                        <w:t>Tél</w:t>
                      </w:r>
                      <w:r w:rsidRPr="00196732">
                        <w:rPr>
                          <w:rFonts w:ascii="Times New Roman"/>
                          <w:i/>
                          <w:sz w:val="20"/>
                          <w:szCs w:val="20"/>
                          <w:lang w:val="en-US"/>
                        </w:rPr>
                        <w:t>: 05 55 62 61 43</w:t>
                      </w:r>
                    </w:p>
                    <w:p w:rsidR="00003F8C" w:rsidRDefault="00003F8C" w:rsidP="00003F8C">
                      <w:pPr>
                        <w:pStyle w:val="msoaddress"/>
                        <w:jc w:val="center"/>
                        <w:rPr>
                          <w:rFonts w:ascii="Times New Roman"/>
                          <w:i/>
                          <w:sz w:val="20"/>
                          <w:szCs w:val="20"/>
                          <w:u w:val="single"/>
                          <w:lang w:val="de-DE"/>
                        </w:rPr>
                      </w:pPr>
                    </w:p>
                    <w:p w:rsidR="00003F8C" w:rsidRPr="00196732" w:rsidRDefault="00003F8C" w:rsidP="00003F8C">
                      <w:pPr>
                        <w:pStyle w:val="msoaddress"/>
                        <w:jc w:val="center"/>
                        <w:rPr>
                          <w:rFonts w:ascii="Times New Roman"/>
                          <w:i/>
                          <w:sz w:val="20"/>
                          <w:szCs w:val="20"/>
                          <w:lang w:val="en-US"/>
                        </w:rPr>
                      </w:pPr>
                      <w:r>
                        <w:rPr>
                          <w:rFonts w:ascii="Times New Roman"/>
                          <w:i/>
                          <w:sz w:val="20"/>
                          <w:szCs w:val="20"/>
                          <w:u w:val="single"/>
                          <w:lang w:val="de-DE"/>
                        </w:rPr>
                        <w:t>Email</w:t>
                      </w:r>
                      <w:r>
                        <w:rPr>
                          <w:rFonts w:ascii="Times New Roman"/>
                          <w:i/>
                          <w:sz w:val="20"/>
                          <w:szCs w:val="20"/>
                          <w:lang w:val="de-DE"/>
                        </w:rPr>
                        <w:t xml:space="preserve"> : </w:t>
                      </w:r>
                      <w:hyperlink r:id="rId6" w:history="1">
                        <w:r>
                          <w:rPr>
                            <w:rStyle w:val="Lienhypertexte"/>
                            <w:i/>
                            <w:lang w:val="de-DE"/>
                          </w:rPr>
                          <w:t>mairie.benevent@gmail.com</w:t>
                        </w:r>
                      </w:hyperlink>
                    </w:p>
                    <w:p w:rsidR="00003F8C" w:rsidRPr="00ED22C3" w:rsidRDefault="00003F8C" w:rsidP="00003F8C">
                      <w:pPr>
                        <w:jc w:val="center"/>
                        <w:rPr>
                          <w:lang w:val="en-US"/>
                        </w:rPr>
                      </w:pPr>
                    </w:p>
                  </w:txbxContent>
                </v:textbox>
                <w10:wrap type="square"/>
              </v:shape>
            </w:pict>
          </mc:Fallback>
        </mc:AlternateContent>
      </w:r>
      <w:r w:rsidRPr="00FD7F67">
        <w:rPr>
          <w:noProof/>
          <w:color w:val="000000"/>
          <w:kern w:val="28"/>
          <w:sz w:val="32"/>
          <w:szCs w:val="32"/>
          <w:lang w:eastAsia="fr-FR"/>
        </w:rPr>
        <w:drawing>
          <wp:anchor distT="0" distB="0" distL="114300" distR="114300" simplePos="0" relativeHeight="251660288" behindDoc="0" locked="0" layoutInCell="1" allowOverlap="1" wp14:anchorId="43E5A6BF" wp14:editId="5C3AC6DA">
            <wp:simplePos x="0" y="0"/>
            <wp:positionH relativeFrom="column">
              <wp:posOffset>262255</wp:posOffset>
            </wp:positionH>
            <wp:positionV relativeFrom="paragraph">
              <wp:posOffset>171450</wp:posOffset>
            </wp:positionV>
            <wp:extent cx="1357630" cy="13836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3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67">
        <w:rPr>
          <w:noProof/>
          <w:color w:val="000000"/>
          <w:kern w:val="28"/>
          <w:lang w:eastAsia="fr-FR"/>
        </w:rPr>
        <w:drawing>
          <wp:anchor distT="0" distB="0" distL="114300" distR="114300" simplePos="0" relativeHeight="251662336" behindDoc="0" locked="0" layoutInCell="1" allowOverlap="1" wp14:anchorId="55EB6E63" wp14:editId="43F6B9F6">
            <wp:simplePos x="0" y="0"/>
            <wp:positionH relativeFrom="column">
              <wp:posOffset>4867275</wp:posOffset>
            </wp:positionH>
            <wp:positionV relativeFrom="paragraph">
              <wp:posOffset>175895</wp:posOffset>
            </wp:positionV>
            <wp:extent cx="1476375" cy="12668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67">
        <w:rPr>
          <w:noProof/>
          <w:color w:val="000000"/>
          <w:kern w:val="28"/>
          <w:sz w:val="32"/>
          <w:szCs w:val="32"/>
          <w:lang w:eastAsia="fr-FR"/>
        </w:rPr>
        <mc:AlternateContent>
          <mc:Choice Requires="wps">
            <w:drawing>
              <wp:anchor distT="36576" distB="36576" distL="36576" distR="36576" simplePos="0" relativeHeight="251659264" behindDoc="1" locked="0" layoutInCell="1" allowOverlap="1" wp14:anchorId="6B48DEB8" wp14:editId="65951634">
                <wp:simplePos x="0" y="0"/>
                <wp:positionH relativeFrom="column">
                  <wp:posOffset>-42545</wp:posOffset>
                </wp:positionH>
                <wp:positionV relativeFrom="paragraph">
                  <wp:posOffset>-99695</wp:posOffset>
                </wp:positionV>
                <wp:extent cx="6677025" cy="1788160"/>
                <wp:effectExtent l="0" t="0" r="2857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7025" cy="1788160"/>
                        </a:xfrm>
                        <a:prstGeom prst="rect">
                          <a:avLst/>
                        </a:prstGeom>
                        <a:noFill/>
                        <a:ln w="2540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F119" id="Rectangle 6" o:spid="_x0000_s1026" style="position:absolute;margin-left:-3.35pt;margin-top:-7.85pt;width:525.75pt;height:14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" filled="f" fillcolor="black" strokeweight="2pt" insetpen="t">
                <v:shadow color="#ccc"/>
                <o:lock v:ext="edit" shapetype="t"/>
                <v:textbox inset="2.88pt,2.88pt,2.88pt,2.88pt"/>
              </v:rect>
            </w:pict>
          </mc:Fallback>
        </mc:AlternateContent>
      </w:r>
    </w:p>
    <w:p w:rsidR="00003F8C" w:rsidRPr="00AD2E32" w:rsidRDefault="00003F8C" w:rsidP="00003F8C">
      <w:pPr>
        <w:pBdr>
          <w:bottom w:val="single" w:sz="12" w:space="1" w:color="auto"/>
        </w:pBdr>
        <w:jc w:val="center"/>
        <w:rPr>
          <w:b/>
          <w:sz w:val="32"/>
          <w:szCs w:val="32"/>
        </w:rPr>
      </w:pPr>
      <w:r w:rsidRPr="00AD2E32">
        <w:rPr>
          <w:b/>
          <w:sz w:val="32"/>
          <w:szCs w:val="32"/>
        </w:rPr>
        <w:t>AVAP – BENEVENT L’ABBAYE</w:t>
      </w:r>
    </w:p>
    <w:p w:rsidR="00003F8C" w:rsidRDefault="00003F8C" w:rsidP="00003F8C">
      <w:pPr>
        <w:jc w:val="center"/>
        <w:rPr>
          <w:b/>
          <w:i/>
          <w:sz w:val="28"/>
          <w:szCs w:val="28"/>
        </w:rPr>
      </w:pPr>
      <w:r>
        <w:rPr>
          <w:b/>
          <w:i/>
          <w:sz w:val="28"/>
          <w:szCs w:val="28"/>
        </w:rPr>
        <w:t>Réunion du 12 AVRIL 2017</w:t>
      </w:r>
    </w:p>
    <w:p w:rsidR="00003F8C" w:rsidRDefault="00003F8C" w:rsidP="00003F8C">
      <w:pPr>
        <w:jc w:val="both"/>
        <w:rPr>
          <w:b/>
          <w:i/>
          <w:sz w:val="28"/>
          <w:szCs w:val="28"/>
        </w:rPr>
      </w:pPr>
    </w:p>
    <w:p w:rsidR="00003F8C" w:rsidRDefault="00003F8C" w:rsidP="00003F8C">
      <w:pPr>
        <w:spacing w:after="0"/>
        <w:jc w:val="both"/>
      </w:pPr>
      <w:r>
        <w:rPr>
          <w:b/>
          <w:i/>
        </w:rPr>
        <w:t>E</w:t>
      </w:r>
      <w:r w:rsidRPr="00AD2E32">
        <w:rPr>
          <w:b/>
          <w:i/>
        </w:rPr>
        <w:t>taient Présents </w:t>
      </w:r>
      <w:r w:rsidRPr="00AD2E32">
        <w:t>:</w:t>
      </w:r>
    </w:p>
    <w:p w:rsidR="00003F8C" w:rsidRDefault="00003F8C" w:rsidP="00003F8C">
      <w:pPr>
        <w:spacing w:after="0" w:line="240" w:lineRule="auto"/>
        <w:jc w:val="both"/>
      </w:pPr>
      <w:r>
        <w:t xml:space="preserve">Mr. André MAVIGNER (Maire), </w:t>
      </w:r>
    </w:p>
    <w:p w:rsidR="00003F8C" w:rsidRDefault="00003F8C" w:rsidP="00003F8C">
      <w:pPr>
        <w:spacing w:after="0" w:line="240" w:lineRule="auto"/>
        <w:jc w:val="both"/>
      </w:pPr>
      <w:r>
        <w:t>Mr Claude VIEILLERIBIERE (Adjoint),</w:t>
      </w:r>
    </w:p>
    <w:p w:rsidR="00003F8C" w:rsidRDefault="00003F8C" w:rsidP="00003F8C">
      <w:pPr>
        <w:spacing w:after="0" w:line="240" w:lineRule="auto"/>
        <w:jc w:val="both"/>
      </w:pPr>
      <w:r>
        <w:t>Mr. Bernard QUINQUE (Fondation du Patrimoine),</w:t>
      </w:r>
    </w:p>
    <w:p w:rsidR="00003F8C" w:rsidRPr="00FF1A0D" w:rsidRDefault="00003F8C" w:rsidP="00003F8C">
      <w:pPr>
        <w:spacing w:after="0"/>
        <w:jc w:val="both"/>
      </w:pPr>
      <w:r w:rsidRPr="00FF1A0D">
        <w:t>Mr. Nicolas AUBINEAU (Communauté de Communes</w:t>
      </w:r>
      <w:r>
        <w:t xml:space="preserve"> Monts et Vallées Ouest Creuse</w:t>
      </w:r>
      <w:r w:rsidRPr="00FF1A0D">
        <w:t>)</w:t>
      </w:r>
      <w:r>
        <w:t>,</w:t>
      </w:r>
    </w:p>
    <w:p w:rsidR="00003F8C" w:rsidRDefault="00003F8C" w:rsidP="00003F8C">
      <w:pPr>
        <w:spacing w:after="0" w:line="240" w:lineRule="auto"/>
        <w:jc w:val="both"/>
      </w:pPr>
      <w:r>
        <w:t>Mme Cécile MAVIGNER (Communauté de Communes),</w:t>
      </w:r>
    </w:p>
    <w:p w:rsidR="00003F8C" w:rsidRDefault="00003F8C" w:rsidP="00003F8C">
      <w:pPr>
        <w:spacing w:after="0"/>
        <w:jc w:val="both"/>
      </w:pPr>
      <w:r>
        <w:t>Mme Juliette TRANCHANT (Pays Ouest Creuse</w:t>
      </w:r>
      <w:r w:rsidRPr="00EA1F11">
        <w:t xml:space="preserve"> </w:t>
      </w:r>
      <w:r>
        <w:t>- Communauté de Communes),</w:t>
      </w:r>
    </w:p>
    <w:p w:rsidR="00003F8C" w:rsidRDefault="00003F8C" w:rsidP="00003F8C">
      <w:pPr>
        <w:spacing w:after="0"/>
        <w:jc w:val="both"/>
      </w:pPr>
      <w:r>
        <w:t>Mme Marie-Laure DUBOSCLARD et Mr. Nicolas CHEVALIER (UDAF 23),</w:t>
      </w:r>
    </w:p>
    <w:p w:rsidR="00003F8C" w:rsidRDefault="00003F8C" w:rsidP="00003F8C">
      <w:pPr>
        <w:spacing w:after="0"/>
        <w:jc w:val="both"/>
      </w:pPr>
      <w:r>
        <w:t>Mr Rémi FOURNAISON (CCI),</w:t>
      </w:r>
    </w:p>
    <w:p w:rsidR="00003F8C" w:rsidRDefault="00003F8C" w:rsidP="00003F8C">
      <w:pPr>
        <w:spacing w:after="0"/>
        <w:jc w:val="both"/>
      </w:pPr>
      <w:r>
        <w:t>Mr André DAVID (Architecte).</w:t>
      </w:r>
    </w:p>
    <w:p w:rsidR="00003F8C" w:rsidRDefault="00003F8C" w:rsidP="00003F8C">
      <w:pPr>
        <w:spacing w:after="0"/>
        <w:jc w:val="both"/>
        <w:rPr>
          <w:b/>
        </w:rPr>
      </w:pPr>
      <w:r w:rsidRPr="001C6EFE">
        <w:rPr>
          <w:b/>
        </w:rPr>
        <w:t>Excusés :</w:t>
      </w:r>
    </w:p>
    <w:p w:rsidR="00003F8C" w:rsidRPr="001C6EFE" w:rsidRDefault="00003F8C" w:rsidP="00003F8C">
      <w:pPr>
        <w:spacing w:after="0"/>
        <w:jc w:val="both"/>
        <w:rPr>
          <w:b/>
        </w:rPr>
      </w:pPr>
      <w:r w:rsidRPr="00FF1A0D">
        <w:t>Mme Justine BATAILLE (Office de Tourisme du Pays des Eaux Vives),</w:t>
      </w:r>
    </w:p>
    <w:p w:rsidR="00003F8C" w:rsidRDefault="00003F8C" w:rsidP="00003F8C">
      <w:pPr>
        <w:spacing w:after="0"/>
        <w:jc w:val="both"/>
      </w:pPr>
      <w:r>
        <w:t>Mr Auguste BOURCIER (Adjoint),</w:t>
      </w:r>
    </w:p>
    <w:p w:rsidR="00003F8C" w:rsidRDefault="00003F8C" w:rsidP="00003F8C">
      <w:pPr>
        <w:spacing w:after="0"/>
        <w:jc w:val="both"/>
        <w:rPr>
          <w:b/>
        </w:rPr>
      </w:pPr>
      <w:r w:rsidRPr="001C6EFE">
        <w:rPr>
          <w:b/>
        </w:rPr>
        <w:t>Absents :</w:t>
      </w:r>
    </w:p>
    <w:p w:rsidR="00003F8C" w:rsidRDefault="00003F8C" w:rsidP="00003F8C">
      <w:pPr>
        <w:spacing w:after="0"/>
        <w:jc w:val="both"/>
      </w:pPr>
      <w:r w:rsidRPr="00FF1A0D">
        <w:t>Mr. Michel MONNET (Communauté de Communes)</w:t>
      </w:r>
      <w:r>
        <w:t>,</w:t>
      </w:r>
    </w:p>
    <w:p w:rsidR="00003F8C" w:rsidRDefault="00003F8C" w:rsidP="00003F8C">
      <w:pPr>
        <w:spacing w:after="0"/>
        <w:jc w:val="both"/>
      </w:pPr>
      <w:r>
        <w:t>Mr. Sylvain POTIER (CAUE 23),</w:t>
      </w:r>
    </w:p>
    <w:p w:rsidR="00003F8C" w:rsidRPr="001C6EFE" w:rsidRDefault="00003F8C" w:rsidP="00003F8C">
      <w:pPr>
        <w:spacing w:after="0"/>
        <w:jc w:val="both"/>
        <w:rPr>
          <w:b/>
        </w:rPr>
      </w:pPr>
      <w:r w:rsidRPr="00FF1A0D">
        <w:t xml:space="preserve">Mme </w:t>
      </w:r>
      <w:r>
        <w:t>Valérie TOUSSAINT (DDT – SUHTD),</w:t>
      </w:r>
    </w:p>
    <w:p w:rsidR="00003F8C" w:rsidRPr="00FF1A0D" w:rsidRDefault="00003F8C" w:rsidP="00003F8C">
      <w:pPr>
        <w:spacing w:after="0"/>
        <w:jc w:val="both"/>
      </w:pPr>
      <w:r w:rsidRPr="00FF1A0D">
        <w:t>Mr. Dominique DUSSOT (DRAC)</w:t>
      </w:r>
    </w:p>
    <w:p w:rsidR="00003F8C" w:rsidRDefault="00003F8C" w:rsidP="00003F8C">
      <w:pPr>
        <w:spacing w:after="0"/>
        <w:jc w:val="both"/>
      </w:pPr>
    </w:p>
    <w:p w:rsidR="00003F8C" w:rsidRDefault="00003F8C" w:rsidP="00003F8C">
      <w:pPr>
        <w:spacing w:after="0"/>
        <w:jc w:val="both"/>
      </w:pPr>
      <w:r>
        <w:t>Monsieur le Président met aux voix le procès-verbal de la précédente réunion qui est adopté à l’unanimité.</w:t>
      </w:r>
    </w:p>
    <w:p w:rsidR="00003F8C" w:rsidRDefault="00003F8C" w:rsidP="00003F8C">
      <w:pPr>
        <w:spacing w:after="0"/>
        <w:jc w:val="both"/>
      </w:pPr>
    </w:p>
    <w:p w:rsidR="00003F8C" w:rsidRDefault="00003F8C" w:rsidP="00003F8C">
      <w:pPr>
        <w:spacing w:after="0"/>
        <w:jc w:val="both"/>
      </w:pPr>
    </w:p>
    <w:p w:rsidR="00003F8C" w:rsidRPr="008A2459" w:rsidRDefault="00003F8C" w:rsidP="00003F8C">
      <w:pPr>
        <w:pBdr>
          <w:top w:val="single" w:sz="4" w:space="1" w:color="auto"/>
          <w:left w:val="single" w:sz="4" w:space="4" w:color="auto"/>
          <w:bottom w:val="single" w:sz="4" w:space="1" w:color="auto"/>
          <w:right w:val="single" w:sz="4" w:space="4" w:color="auto"/>
        </w:pBdr>
        <w:spacing w:after="0"/>
        <w:jc w:val="center"/>
        <w:rPr>
          <w:b/>
          <w:sz w:val="28"/>
          <w:szCs w:val="28"/>
          <w:u w:val="single"/>
        </w:rPr>
      </w:pPr>
      <w:r w:rsidRPr="008A2459">
        <w:rPr>
          <w:b/>
          <w:sz w:val="28"/>
          <w:szCs w:val="28"/>
          <w:u w:val="single"/>
        </w:rPr>
        <w:t>ZONAGE</w:t>
      </w:r>
    </w:p>
    <w:p w:rsidR="00003F8C" w:rsidRDefault="00003F8C" w:rsidP="00003F8C">
      <w:pPr>
        <w:spacing w:after="0"/>
        <w:ind w:left="360"/>
        <w:jc w:val="both"/>
      </w:pPr>
    </w:p>
    <w:p w:rsidR="00003F8C" w:rsidRDefault="00003F8C" w:rsidP="00003F8C">
      <w:pPr>
        <w:spacing w:after="0"/>
        <w:ind w:left="360"/>
        <w:jc w:val="both"/>
      </w:pPr>
    </w:p>
    <w:p w:rsidR="00003F8C" w:rsidRDefault="00003F8C" w:rsidP="00003F8C">
      <w:pPr>
        <w:spacing w:after="0"/>
        <w:ind w:left="360"/>
        <w:jc w:val="both"/>
      </w:pPr>
      <w:r>
        <w:t>Mr David souhaite que l’on arrête précisément le zonage et que l’on se prononce sur l’intégration des villages de Pierres-Blanches, Cany et le Petit-Murat :</w:t>
      </w:r>
    </w:p>
    <w:p w:rsidR="00003F8C" w:rsidRDefault="00003F8C" w:rsidP="00003F8C">
      <w:pPr>
        <w:pStyle w:val="Paragraphedeliste"/>
        <w:numPr>
          <w:ilvl w:val="0"/>
          <w:numId w:val="1"/>
        </w:numPr>
        <w:spacing w:after="0"/>
        <w:jc w:val="both"/>
      </w:pPr>
      <w:r>
        <w:t>Le village de Pierres Blanches a la particularité d’être constitué de petites maisons le long de la nouvelle route, engendrant ainsi un nouvel alignement. La commission est favorable à son intégration, y compris celle de l’immeuble construit récemment (UP2).</w:t>
      </w:r>
    </w:p>
    <w:p w:rsidR="00003F8C" w:rsidRDefault="00003F8C" w:rsidP="00003F8C">
      <w:pPr>
        <w:pStyle w:val="Paragraphedeliste"/>
        <w:numPr>
          <w:ilvl w:val="0"/>
          <w:numId w:val="1"/>
        </w:numPr>
        <w:spacing w:after="0"/>
        <w:jc w:val="both"/>
      </w:pPr>
      <w:r>
        <w:t>Cany constitue réellement l’entrée du bourg et doit être inclus.</w:t>
      </w:r>
    </w:p>
    <w:p w:rsidR="00003F8C" w:rsidRDefault="00003F8C" w:rsidP="00003F8C">
      <w:pPr>
        <w:pStyle w:val="Paragraphedeliste"/>
        <w:numPr>
          <w:ilvl w:val="0"/>
          <w:numId w:val="1"/>
        </w:numPr>
        <w:spacing w:after="0"/>
        <w:jc w:val="both"/>
      </w:pPr>
      <w:r>
        <w:t>L’entrée Nord, avenue du Marché, constituée de maisons traditionnelles, en alignement et de quelques pavillons récents a connu une évolution semblable à celle du bourg et doit aussi être incluse.</w:t>
      </w:r>
    </w:p>
    <w:p w:rsidR="00003F8C" w:rsidRDefault="00003F8C" w:rsidP="00003F8C">
      <w:pPr>
        <w:pStyle w:val="Paragraphedeliste"/>
        <w:numPr>
          <w:ilvl w:val="0"/>
          <w:numId w:val="1"/>
        </w:numPr>
        <w:spacing w:after="0"/>
        <w:jc w:val="both"/>
      </w:pPr>
      <w:r>
        <w:t>Il faut intégrer la parcelle sur laquelle apparait désormais une résidence secondaire après transformation de ce qui était à l’origine un abri de jardin et qui pose question.</w:t>
      </w:r>
    </w:p>
    <w:p w:rsidR="00003F8C" w:rsidRDefault="00003F8C" w:rsidP="00003F8C">
      <w:pPr>
        <w:pStyle w:val="Paragraphedeliste"/>
        <w:numPr>
          <w:ilvl w:val="0"/>
          <w:numId w:val="1"/>
        </w:numPr>
        <w:spacing w:after="0"/>
        <w:jc w:val="both"/>
      </w:pPr>
      <w:r>
        <w:lastRenderedPageBreak/>
        <w:t>Le village du Petit Murat, structuré autour d’un ancien chemin, et dont l’arrière des maisons était tourné vers le bourg, a subi une évolution disparate et de piètre qualité. Il connait encore la présence d’une activité agricole. De plus, il est en co visibilité avec le bourg et avec l’abbaye et doit être inclus dans le périmètre de protection renforcée, contrairement à ce que la ZPPAUP avait arrêté.</w:t>
      </w:r>
    </w:p>
    <w:p w:rsidR="00003F8C" w:rsidRDefault="00003F8C" w:rsidP="00003F8C">
      <w:pPr>
        <w:pStyle w:val="Paragraphedeliste"/>
        <w:spacing w:after="0"/>
        <w:jc w:val="both"/>
      </w:pPr>
    </w:p>
    <w:p w:rsidR="00003F8C" w:rsidRDefault="00003F8C" w:rsidP="00003F8C">
      <w:pPr>
        <w:spacing w:after="0"/>
        <w:jc w:val="both"/>
      </w:pPr>
    </w:p>
    <w:p w:rsidR="00003F8C" w:rsidRPr="008A2459" w:rsidRDefault="00003F8C" w:rsidP="00003F8C">
      <w:pPr>
        <w:pBdr>
          <w:top w:val="single" w:sz="4" w:space="1" w:color="auto"/>
          <w:left w:val="single" w:sz="4" w:space="4" w:color="auto"/>
          <w:bottom w:val="single" w:sz="4" w:space="1" w:color="auto"/>
          <w:right w:val="single" w:sz="4" w:space="4" w:color="auto"/>
        </w:pBdr>
        <w:spacing w:after="0"/>
        <w:jc w:val="center"/>
        <w:rPr>
          <w:b/>
          <w:sz w:val="28"/>
          <w:szCs w:val="28"/>
          <w:u w:val="single"/>
        </w:rPr>
      </w:pPr>
      <w:r>
        <w:rPr>
          <w:b/>
          <w:sz w:val="28"/>
          <w:szCs w:val="28"/>
          <w:u w:val="single"/>
        </w:rPr>
        <w:t>LA LOI DU 07 JUILLET 2016</w:t>
      </w:r>
    </w:p>
    <w:p w:rsidR="00003F8C" w:rsidRDefault="00003F8C" w:rsidP="00003F8C">
      <w:pPr>
        <w:spacing w:after="0"/>
        <w:ind w:left="360"/>
        <w:jc w:val="both"/>
      </w:pPr>
    </w:p>
    <w:p w:rsidR="00003F8C" w:rsidRDefault="00003F8C" w:rsidP="00003F8C">
      <w:pPr>
        <w:spacing w:after="0"/>
        <w:jc w:val="both"/>
      </w:pPr>
      <w:r>
        <w:tab/>
      </w:r>
    </w:p>
    <w:p w:rsidR="00003F8C" w:rsidRDefault="00003F8C" w:rsidP="00003F8C">
      <w:pPr>
        <w:spacing w:after="0"/>
        <w:jc w:val="both"/>
      </w:pPr>
      <w:r>
        <w:t>Un décret d’application du volet « patrimoine » de la loi sur la liberté de création, l’architecture et le patrimoine du 7 juillet 2016 a été publiée.</w:t>
      </w:r>
    </w:p>
    <w:p w:rsidR="00003F8C" w:rsidRDefault="00003F8C" w:rsidP="00003F8C">
      <w:pPr>
        <w:spacing w:after="0"/>
        <w:jc w:val="both"/>
      </w:pPr>
      <w:r>
        <w:t>Il définit entre autres la procédure de création d’un périmètre délimité des abords de monuments historiques. Il précise aussi la procédure de classement au titre des sites patrimoniaux remarquables. (La loi prévoit en effet que les secteurs sauvegardés, ZPPAUP et AVAP fusionnent pour donner naissance à cette nouvelle appellation. Ceux –ci disposent ainsi de 2 outils, au choix : le PVAP, plan de valorisation de l’architecture et du patrimoine annexé au PLU (1</w:t>
      </w:r>
      <w:r w:rsidRPr="004E57DC">
        <w:rPr>
          <w:vertAlign w:val="superscript"/>
        </w:rPr>
        <w:t>er</w:t>
      </w:r>
      <w:r>
        <w:t xml:space="preserve"> degré de protection) ou le plan de sauvegarde et de mise en valeur, qui constituera le plus haut degré de protection. Des textes complémentaires doivent préciser certains points de ce décret.</w:t>
      </w:r>
    </w:p>
    <w:p w:rsidR="00003F8C" w:rsidRDefault="00003F8C" w:rsidP="00003F8C">
      <w:pPr>
        <w:spacing w:after="0"/>
        <w:jc w:val="both"/>
      </w:pPr>
    </w:p>
    <w:p w:rsidR="00003F8C" w:rsidRDefault="00003F8C" w:rsidP="00003F8C">
      <w:pPr>
        <w:spacing w:after="0"/>
        <w:jc w:val="both"/>
      </w:pPr>
      <w:r>
        <w:tab/>
        <w:t>Mr DAVID effectue une présentation générale du règlement</w:t>
      </w:r>
    </w:p>
    <w:p w:rsidR="00003F8C" w:rsidRDefault="00003F8C" w:rsidP="00003F8C">
      <w:pPr>
        <w:spacing w:after="0"/>
        <w:jc w:val="both"/>
      </w:pPr>
    </w:p>
    <w:p w:rsidR="00003F8C" w:rsidRDefault="00003F8C" w:rsidP="00003F8C">
      <w:pPr>
        <w:pStyle w:val="Paragraphedeliste"/>
        <w:numPr>
          <w:ilvl w:val="0"/>
          <w:numId w:val="2"/>
        </w:numPr>
        <w:spacing w:after="0"/>
        <w:jc w:val="both"/>
      </w:pPr>
      <w:r>
        <w:t>Rappel des obligations réglementaires</w:t>
      </w:r>
    </w:p>
    <w:p w:rsidR="00003F8C" w:rsidRDefault="00003F8C" w:rsidP="00003F8C">
      <w:pPr>
        <w:pStyle w:val="Paragraphedeliste"/>
        <w:spacing w:after="0"/>
        <w:jc w:val="both"/>
      </w:pPr>
    </w:p>
    <w:p w:rsidR="00003F8C" w:rsidRDefault="00003F8C" w:rsidP="00003F8C">
      <w:pPr>
        <w:pStyle w:val="Paragraphedeliste"/>
        <w:numPr>
          <w:ilvl w:val="0"/>
          <w:numId w:val="1"/>
        </w:numPr>
        <w:spacing w:after="0"/>
        <w:jc w:val="both"/>
      </w:pPr>
      <w:r>
        <w:t>L’AVAP suspend l’application de la servitude des abords de MH sur son territoire.</w:t>
      </w:r>
    </w:p>
    <w:p w:rsidR="00003F8C" w:rsidRDefault="00003F8C" w:rsidP="00003F8C">
      <w:pPr>
        <w:pStyle w:val="Paragraphedeliste"/>
        <w:numPr>
          <w:ilvl w:val="0"/>
          <w:numId w:val="1"/>
        </w:numPr>
        <w:spacing w:after="0"/>
        <w:jc w:val="both"/>
      </w:pPr>
      <w:r>
        <w:t>Elle n’a pas d’effet sur l’archéologie</w:t>
      </w:r>
    </w:p>
    <w:p w:rsidR="00003F8C" w:rsidRDefault="00003F8C" w:rsidP="00003F8C">
      <w:pPr>
        <w:pStyle w:val="Paragraphedeliste"/>
        <w:numPr>
          <w:ilvl w:val="0"/>
          <w:numId w:val="1"/>
        </w:numPr>
        <w:spacing w:after="0"/>
        <w:jc w:val="both"/>
      </w:pPr>
      <w:r>
        <w:t>Elle interdit la publicité sur son territoire, à défaut de règlement local de publicité</w:t>
      </w:r>
    </w:p>
    <w:p w:rsidR="00003F8C" w:rsidRDefault="00003F8C" w:rsidP="00003F8C">
      <w:pPr>
        <w:pStyle w:val="Paragraphedeliste"/>
        <w:numPr>
          <w:ilvl w:val="0"/>
          <w:numId w:val="1"/>
        </w:numPr>
        <w:spacing w:after="0"/>
        <w:jc w:val="both"/>
      </w:pPr>
      <w:r>
        <w:t>Elle contient des règles relatives à la qualité architecturale des constructions nouvelles ou des aménagements sur l’existant ainsi qu’à l’intégration architecturale ou paysagère des équipements liés à la production d’énergies renouvelables ou aux économies d’énergie.</w:t>
      </w:r>
    </w:p>
    <w:p w:rsidR="00003F8C" w:rsidRDefault="00003F8C" w:rsidP="00003F8C">
      <w:pPr>
        <w:pStyle w:val="Paragraphedeliste"/>
        <w:numPr>
          <w:ilvl w:val="0"/>
          <w:numId w:val="1"/>
        </w:numPr>
        <w:spacing w:after="0"/>
        <w:jc w:val="both"/>
      </w:pPr>
      <w:r>
        <w:t xml:space="preserve">Son contenu est constitué de manière indissociable de dispositions écrites et d’un ou plusieurs documents graphiques </w:t>
      </w:r>
    </w:p>
    <w:p w:rsidR="00003F8C" w:rsidRDefault="00003F8C" w:rsidP="00003F8C">
      <w:pPr>
        <w:pStyle w:val="Paragraphedeliste"/>
        <w:numPr>
          <w:ilvl w:val="0"/>
          <w:numId w:val="1"/>
        </w:numPr>
        <w:spacing w:after="0"/>
        <w:jc w:val="both"/>
      </w:pPr>
      <w:r>
        <w:t>Chaque dossier de demande d’autorisation comporte un plan qui permet de connaître la situation du terrain sur le territoire communal.</w:t>
      </w:r>
    </w:p>
    <w:p w:rsidR="00003F8C" w:rsidRDefault="00003F8C" w:rsidP="00003F8C">
      <w:pPr>
        <w:pStyle w:val="Paragraphedeliste"/>
        <w:numPr>
          <w:ilvl w:val="0"/>
          <w:numId w:val="1"/>
        </w:numPr>
        <w:spacing w:after="0"/>
        <w:jc w:val="both"/>
      </w:pPr>
      <w:r>
        <w:t>Il est prévu une autorisation spéciale de travaux pour ceux non soumis à formalité au titre du code de l’urbanisme</w:t>
      </w:r>
    </w:p>
    <w:p w:rsidR="00003F8C" w:rsidRDefault="00003F8C" w:rsidP="00003F8C">
      <w:pPr>
        <w:pStyle w:val="Paragraphedeliste"/>
        <w:numPr>
          <w:ilvl w:val="0"/>
          <w:numId w:val="1"/>
        </w:numPr>
        <w:spacing w:after="0"/>
        <w:jc w:val="both"/>
      </w:pPr>
      <w:r>
        <w:t>Les travaux réalisés sans autorisation exposent à sanction</w:t>
      </w:r>
    </w:p>
    <w:p w:rsidR="00003F8C" w:rsidRDefault="00003F8C" w:rsidP="00003F8C">
      <w:pPr>
        <w:spacing w:after="0"/>
        <w:ind w:left="360"/>
        <w:jc w:val="both"/>
      </w:pPr>
    </w:p>
    <w:p w:rsidR="00003F8C" w:rsidRDefault="00003F8C" w:rsidP="00003F8C">
      <w:pPr>
        <w:pStyle w:val="Paragraphedeliste"/>
        <w:numPr>
          <w:ilvl w:val="0"/>
          <w:numId w:val="2"/>
        </w:numPr>
        <w:spacing w:after="0"/>
        <w:jc w:val="both"/>
      </w:pPr>
      <w:r>
        <w:t>Architecture générale du règlement</w:t>
      </w:r>
    </w:p>
    <w:p w:rsidR="00003F8C" w:rsidRDefault="00003F8C" w:rsidP="00003F8C">
      <w:pPr>
        <w:spacing w:after="0"/>
        <w:ind w:left="360"/>
        <w:jc w:val="both"/>
      </w:pPr>
    </w:p>
    <w:p w:rsidR="00003F8C" w:rsidRDefault="00003F8C" w:rsidP="00003F8C">
      <w:pPr>
        <w:pStyle w:val="Paragraphedeliste"/>
        <w:numPr>
          <w:ilvl w:val="0"/>
          <w:numId w:val="1"/>
        </w:numPr>
        <w:spacing w:after="0"/>
        <w:jc w:val="both"/>
      </w:pPr>
      <w:r>
        <w:t>Aucune prescription n’est envisageable si elle n’est prévue au règlement</w:t>
      </w:r>
    </w:p>
    <w:p w:rsidR="00003F8C" w:rsidRDefault="00003F8C" w:rsidP="00003F8C">
      <w:pPr>
        <w:pStyle w:val="Paragraphedeliste"/>
        <w:numPr>
          <w:ilvl w:val="0"/>
          <w:numId w:val="1"/>
        </w:numPr>
        <w:spacing w:after="0"/>
        <w:jc w:val="both"/>
      </w:pPr>
      <w:r>
        <w:t>Les questions qui se posent en matière de restauration, d’entretien, de création ou d’aménagement. La commune souhaite bénéficier de labels qualitatifs, ce qui impose une certaine qualité visuelle et de la vigilance sur des questions essentielles.</w:t>
      </w:r>
    </w:p>
    <w:p w:rsidR="00003F8C" w:rsidRDefault="00003F8C" w:rsidP="00003F8C">
      <w:pPr>
        <w:pStyle w:val="Paragraphedeliste"/>
        <w:numPr>
          <w:ilvl w:val="0"/>
          <w:numId w:val="1"/>
        </w:numPr>
        <w:spacing w:after="0"/>
        <w:jc w:val="both"/>
      </w:pPr>
      <w:r>
        <w:t>Les domaines prioritaires sont ainsi les aspects des façades, les toitures, les menuiseries et fermetures et les devantures commerciales</w:t>
      </w:r>
    </w:p>
    <w:p w:rsidR="00003F8C" w:rsidRDefault="00003F8C" w:rsidP="00003F8C">
      <w:pPr>
        <w:pStyle w:val="Paragraphedeliste"/>
        <w:numPr>
          <w:ilvl w:val="0"/>
          <w:numId w:val="1"/>
        </w:numPr>
        <w:spacing w:after="0"/>
        <w:jc w:val="both"/>
      </w:pPr>
      <w:r>
        <w:t>La règle doit être proportionnée aux enjeux et prévoir des exceptions si elles sont nécessaires.</w:t>
      </w:r>
    </w:p>
    <w:p w:rsidR="00003F8C" w:rsidRDefault="00003F8C" w:rsidP="00003F8C">
      <w:pPr>
        <w:pStyle w:val="Paragraphedeliste"/>
        <w:numPr>
          <w:ilvl w:val="0"/>
          <w:numId w:val="1"/>
        </w:numPr>
        <w:spacing w:after="0"/>
        <w:jc w:val="both"/>
      </w:pPr>
      <w:r>
        <w:t>Chaque chapitre portant des règles doit être accompagné d’illustrations</w:t>
      </w:r>
    </w:p>
    <w:p w:rsidR="00003F8C" w:rsidRDefault="00003F8C" w:rsidP="00003F8C">
      <w:pPr>
        <w:spacing w:after="0"/>
        <w:ind w:left="360"/>
        <w:jc w:val="both"/>
      </w:pPr>
    </w:p>
    <w:p w:rsidR="00003F8C" w:rsidRDefault="00003F8C" w:rsidP="00003F8C">
      <w:pPr>
        <w:pStyle w:val="Paragraphedeliste"/>
        <w:numPr>
          <w:ilvl w:val="0"/>
          <w:numId w:val="2"/>
        </w:numPr>
        <w:spacing w:after="0"/>
        <w:jc w:val="both"/>
      </w:pPr>
      <w:r>
        <w:t>Avant d’utiliser le règlement</w:t>
      </w:r>
    </w:p>
    <w:p w:rsidR="00003F8C" w:rsidRDefault="00003F8C" w:rsidP="00003F8C">
      <w:pPr>
        <w:spacing w:after="0"/>
        <w:ind w:left="360"/>
        <w:jc w:val="both"/>
      </w:pPr>
    </w:p>
    <w:p w:rsidR="00003F8C" w:rsidRDefault="00003F8C" w:rsidP="00003F8C">
      <w:pPr>
        <w:pStyle w:val="Paragraphedeliste"/>
        <w:numPr>
          <w:ilvl w:val="0"/>
          <w:numId w:val="1"/>
        </w:numPr>
        <w:spacing w:after="0"/>
        <w:jc w:val="both"/>
      </w:pPr>
      <w:r>
        <w:t>Comment doit-on procéder avant l’exécution du règlement ? Repérer le site de l’intervention, identifier la question à traiter, la qualité de la construction, la typologie de l’architecture et ses matériaux.</w:t>
      </w:r>
    </w:p>
    <w:p w:rsidR="00003F8C" w:rsidRDefault="00003F8C" w:rsidP="00003F8C">
      <w:pPr>
        <w:spacing w:after="0"/>
        <w:ind w:left="360"/>
        <w:jc w:val="both"/>
      </w:pPr>
    </w:p>
    <w:p w:rsidR="00003F8C" w:rsidRDefault="00003F8C" w:rsidP="00003F8C">
      <w:pPr>
        <w:pStyle w:val="Paragraphedeliste"/>
        <w:numPr>
          <w:ilvl w:val="0"/>
          <w:numId w:val="2"/>
        </w:numPr>
        <w:spacing w:after="0"/>
        <w:jc w:val="both"/>
      </w:pPr>
      <w:r>
        <w:lastRenderedPageBreak/>
        <w:t>Plan général du règlement : domaine abordés</w:t>
      </w:r>
    </w:p>
    <w:p w:rsidR="00003F8C" w:rsidRDefault="00003F8C" w:rsidP="00003F8C">
      <w:pPr>
        <w:spacing w:after="0"/>
        <w:ind w:left="360"/>
        <w:jc w:val="both"/>
      </w:pPr>
    </w:p>
    <w:p w:rsidR="00003F8C" w:rsidRDefault="00003F8C" w:rsidP="00003F8C">
      <w:pPr>
        <w:pStyle w:val="Paragraphedeliste"/>
        <w:numPr>
          <w:ilvl w:val="0"/>
          <w:numId w:val="1"/>
        </w:numPr>
        <w:spacing w:after="0"/>
        <w:jc w:val="both"/>
      </w:pPr>
      <w:r>
        <w:t>Règles générales s’appliquant dans la totalité de l’aire :</w:t>
      </w:r>
    </w:p>
    <w:p w:rsidR="00003F8C" w:rsidRDefault="00003F8C" w:rsidP="00003F8C">
      <w:pPr>
        <w:pStyle w:val="Paragraphedeliste"/>
        <w:spacing w:after="0"/>
        <w:jc w:val="both"/>
      </w:pPr>
    </w:p>
    <w:p w:rsidR="00003F8C" w:rsidRDefault="00003F8C" w:rsidP="00003F8C">
      <w:pPr>
        <w:pStyle w:val="Paragraphedeliste"/>
        <w:numPr>
          <w:ilvl w:val="2"/>
          <w:numId w:val="3"/>
        </w:numPr>
        <w:spacing w:after="0"/>
        <w:jc w:val="both"/>
      </w:pPr>
      <w:r>
        <w:t>Institution et délimitation de l’AVAP</w:t>
      </w:r>
    </w:p>
    <w:p w:rsidR="00003F8C" w:rsidRDefault="00003F8C" w:rsidP="00003F8C">
      <w:pPr>
        <w:pStyle w:val="Paragraphedeliste"/>
        <w:numPr>
          <w:ilvl w:val="2"/>
          <w:numId w:val="3"/>
        </w:numPr>
        <w:spacing w:after="0"/>
        <w:jc w:val="both"/>
      </w:pPr>
      <w:r>
        <w:t>Découpage en zones</w:t>
      </w:r>
    </w:p>
    <w:p w:rsidR="00003F8C" w:rsidRDefault="00003F8C" w:rsidP="00003F8C">
      <w:pPr>
        <w:pStyle w:val="Paragraphedeliste"/>
        <w:numPr>
          <w:ilvl w:val="2"/>
          <w:numId w:val="3"/>
        </w:numPr>
        <w:spacing w:after="0"/>
        <w:jc w:val="both"/>
      </w:pPr>
      <w:r>
        <w:t>Bâtiments protégés</w:t>
      </w:r>
    </w:p>
    <w:p w:rsidR="00003F8C" w:rsidRDefault="00003F8C" w:rsidP="00003F8C">
      <w:pPr>
        <w:pStyle w:val="Paragraphedeliste"/>
        <w:numPr>
          <w:ilvl w:val="2"/>
          <w:numId w:val="3"/>
        </w:numPr>
        <w:spacing w:after="0"/>
        <w:jc w:val="both"/>
      </w:pPr>
      <w:r>
        <w:t>Tracés protégés</w:t>
      </w:r>
    </w:p>
    <w:p w:rsidR="00003F8C" w:rsidRDefault="00003F8C" w:rsidP="00003F8C">
      <w:pPr>
        <w:pStyle w:val="Paragraphedeliste"/>
        <w:numPr>
          <w:ilvl w:val="2"/>
          <w:numId w:val="3"/>
        </w:numPr>
        <w:spacing w:after="0"/>
        <w:jc w:val="both"/>
      </w:pPr>
      <w:r>
        <w:t>Espaces protégés</w:t>
      </w:r>
    </w:p>
    <w:p w:rsidR="00003F8C" w:rsidRDefault="00003F8C" w:rsidP="00003F8C">
      <w:pPr>
        <w:pStyle w:val="Paragraphedeliste"/>
        <w:numPr>
          <w:ilvl w:val="2"/>
          <w:numId w:val="3"/>
        </w:numPr>
        <w:spacing w:after="0"/>
        <w:jc w:val="both"/>
      </w:pPr>
      <w:r>
        <w:t>Possibilité d’adaptation des règles</w:t>
      </w:r>
    </w:p>
    <w:p w:rsidR="00003F8C" w:rsidRDefault="00003F8C" w:rsidP="00003F8C">
      <w:pPr>
        <w:pStyle w:val="Paragraphedeliste"/>
        <w:spacing w:after="0"/>
        <w:jc w:val="both"/>
      </w:pPr>
    </w:p>
    <w:p w:rsidR="00003F8C" w:rsidRDefault="00003F8C" w:rsidP="00003F8C">
      <w:pPr>
        <w:pStyle w:val="Paragraphedeliste"/>
        <w:numPr>
          <w:ilvl w:val="0"/>
          <w:numId w:val="1"/>
        </w:numPr>
        <w:spacing w:after="0"/>
        <w:jc w:val="both"/>
      </w:pPr>
      <w:r>
        <w:t>Règles particulières portant sur les travaux, applicables selon les secteurs</w:t>
      </w:r>
    </w:p>
    <w:p w:rsidR="00003F8C" w:rsidRDefault="00003F8C" w:rsidP="00003F8C">
      <w:pPr>
        <w:pStyle w:val="Paragraphedeliste"/>
        <w:numPr>
          <w:ilvl w:val="0"/>
          <w:numId w:val="4"/>
        </w:numPr>
        <w:spacing w:after="0"/>
        <w:jc w:val="both"/>
      </w:pPr>
      <w:r>
        <w:t>Aspect des façades : ancien et traditionnel (enduites, non enduites ou mixtes, en pierre appareillée)</w:t>
      </w:r>
    </w:p>
    <w:p w:rsidR="00003F8C" w:rsidRDefault="00003F8C" w:rsidP="00003F8C">
      <w:pPr>
        <w:pStyle w:val="Paragraphedeliste"/>
        <w:numPr>
          <w:ilvl w:val="0"/>
          <w:numId w:val="4"/>
        </w:numPr>
        <w:spacing w:after="0"/>
        <w:jc w:val="both"/>
      </w:pPr>
      <w:r>
        <w:t>Aspect de façades modernes (règles générales)</w:t>
      </w:r>
    </w:p>
    <w:p w:rsidR="00003F8C" w:rsidRDefault="00003F8C" w:rsidP="00003F8C">
      <w:pPr>
        <w:pStyle w:val="Paragraphedeliste"/>
        <w:numPr>
          <w:ilvl w:val="0"/>
          <w:numId w:val="4"/>
        </w:numPr>
        <w:spacing w:after="0"/>
        <w:jc w:val="both"/>
      </w:pPr>
      <w:r>
        <w:t>Couverture (ardoise, tuile plate petit moule, matériaux de substitution, toitures modernes, autres matériaux).</w:t>
      </w:r>
    </w:p>
    <w:p w:rsidR="00003F8C" w:rsidRDefault="00003F8C" w:rsidP="00003F8C">
      <w:pPr>
        <w:pStyle w:val="Paragraphedeliste"/>
        <w:numPr>
          <w:ilvl w:val="0"/>
          <w:numId w:val="4"/>
        </w:numPr>
        <w:spacing w:after="0"/>
        <w:jc w:val="both"/>
      </w:pPr>
      <w:r>
        <w:t>Menuiseries et fermetures</w:t>
      </w:r>
    </w:p>
    <w:p w:rsidR="00003F8C" w:rsidRDefault="00003F8C" w:rsidP="00003F8C">
      <w:pPr>
        <w:pStyle w:val="Paragraphedeliste"/>
        <w:numPr>
          <w:ilvl w:val="0"/>
          <w:numId w:val="4"/>
        </w:numPr>
        <w:spacing w:after="0"/>
        <w:jc w:val="both"/>
      </w:pPr>
      <w:r>
        <w:t>Modifications (générales – nouvelles ouvertures – Volumes -  ajouts de matériels techniques)</w:t>
      </w:r>
    </w:p>
    <w:p w:rsidR="00003F8C" w:rsidRDefault="00003F8C" w:rsidP="00003F8C">
      <w:pPr>
        <w:spacing w:after="0"/>
        <w:ind w:left="1416"/>
        <w:jc w:val="both"/>
      </w:pPr>
      <w:r>
        <w:t>Ces règles s’appliquent selon les secteurs.</w:t>
      </w:r>
    </w:p>
    <w:p w:rsidR="00003F8C" w:rsidRDefault="00003F8C" w:rsidP="00003F8C">
      <w:pPr>
        <w:pStyle w:val="Paragraphedeliste"/>
        <w:numPr>
          <w:ilvl w:val="0"/>
          <w:numId w:val="5"/>
        </w:numPr>
        <w:spacing w:after="0"/>
        <w:jc w:val="both"/>
      </w:pPr>
      <w:r>
        <w:t>Dispositifs commerciaux</w:t>
      </w:r>
    </w:p>
    <w:p w:rsidR="00003F8C" w:rsidRDefault="00003F8C" w:rsidP="00003F8C">
      <w:pPr>
        <w:pStyle w:val="Paragraphedeliste"/>
        <w:numPr>
          <w:ilvl w:val="0"/>
          <w:numId w:val="5"/>
        </w:numPr>
        <w:spacing w:after="0"/>
        <w:jc w:val="both"/>
      </w:pPr>
      <w:r>
        <w:t>Constructions neuves (en secteur patrimonial et dans le reste de l’AVAP). Règles qui s’appliquent plus particulièrement dans le secteur patrimonial.</w:t>
      </w:r>
    </w:p>
    <w:p w:rsidR="00003F8C" w:rsidRDefault="00003F8C" w:rsidP="00003F8C">
      <w:pPr>
        <w:spacing w:after="0"/>
        <w:jc w:val="both"/>
      </w:pPr>
    </w:p>
    <w:p w:rsidR="00003F8C" w:rsidRDefault="00003F8C" w:rsidP="00003F8C">
      <w:pPr>
        <w:spacing w:after="0"/>
        <w:jc w:val="both"/>
      </w:pPr>
    </w:p>
    <w:p w:rsidR="00003F8C" w:rsidRDefault="00003F8C" w:rsidP="00003F8C">
      <w:pPr>
        <w:spacing w:after="0"/>
        <w:ind w:left="708" w:firstLine="708"/>
        <w:jc w:val="both"/>
      </w:pPr>
      <w:r>
        <w:t>Chacun de ces chapitres est abordé dans le cadre d’un projet soumis à l’examen des membres de la Commission qui pourront faire connaître leur questionnement, leurs demandes de modifications, d’ajouts, de suppressions, auprès des services de la mairie avant la prochaine réunion.</w:t>
      </w:r>
    </w:p>
    <w:p w:rsidR="00003F8C" w:rsidRDefault="00003F8C" w:rsidP="00003F8C">
      <w:pPr>
        <w:spacing w:after="0"/>
        <w:ind w:left="708" w:firstLine="708"/>
        <w:jc w:val="both"/>
      </w:pPr>
    </w:p>
    <w:p w:rsidR="00003F8C" w:rsidRDefault="00003F8C" w:rsidP="00003F8C">
      <w:pPr>
        <w:spacing w:after="0"/>
        <w:ind w:left="708" w:firstLine="708"/>
        <w:jc w:val="both"/>
      </w:pPr>
    </w:p>
    <w:p w:rsidR="00003F8C" w:rsidRDefault="00003F8C" w:rsidP="00003F8C">
      <w:pPr>
        <w:spacing w:after="0"/>
        <w:ind w:left="708" w:firstLine="708"/>
        <w:jc w:val="both"/>
      </w:pPr>
    </w:p>
    <w:p w:rsidR="00003F8C" w:rsidRDefault="00003F8C" w:rsidP="00003F8C">
      <w:pPr>
        <w:spacing w:after="0"/>
        <w:ind w:left="708"/>
        <w:jc w:val="both"/>
      </w:pPr>
      <w:r>
        <w:tab/>
        <w:t>Celle-ci est fixée au mercredi 31 mai à 14h30, salle du Conseil Municipal de la mairie.</w:t>
      </w:r>
    </w:p>
    <w:p w:rsidR="00003F8C" w:rsidRDefault="00003F8C" w:rsidP="00003F8C">
      <w:pPr>
        <w:pStyle w:val="Paragraphedeliste"/>
        <w:spacing w:after="0"/>
        <w:jc w:val="both"/>
      </w:pPr>
    </w:p>
    <w:p w:rsidR="00003F8C" w:rsidRDefault="00003F8C" w:rsidP="00003F8C">
      <w:pPr>
        <w:spacing w:after="0"/>
        <w:ind w:left="360"/>
        <w:jc w:val="both"/>
      </w:pPr>
    </w:p>
    <w:p w:rsidR="00003F8C" w:rsidRDefault="00003F8C" w:rsidP="00003F8C">
      <w:pPr>
        <w:spacing w:after="0"/>
        <w:jc w:val="both"/>
      </w:pPr>
    </w:p>
    <w:p w:rsidR="00003F8C" w:rsidRDefault="00003F8C" w:rsidP="00003F8C">
      <w:pPr>
        <w:spacing w:after="0"/>
        <w:jc w:val="both"/>
      </w:pPr>
    </w:p>
    <w:p w:rsidR="00003F8C" w:rsidRDefault="00003F8C" w:rsidP="00003F8C">
      <w:pPr>
        <w:spacing w:after="0"/>
        <w:jc w:val="center"/>
        <w:rPr>
          <w:b/>
          <w:sz w:val="28"/>
          <w:szCs w:val="28"/>
          <w:u w:val="single"/>
        </w:rPr>
      </w:pPr>
    </w:p>
    <w:p w:rsidR="00003F8C" w:rsidRDefault="00003F8C" w:rsidP="00003F8C">
      <w:pPr>
        <w:spacing w:after="0"/>
        <w:jc w:val="center"/>
      </w:pPr>
    </w:p>
    <w:p w:rsidR="00003F8C" w:rsidRPr="00F02F0D" w:rsidRDefault="00003F8C" w:rsidP="00003F8C">
      <w:pPr>
        <w:spacing w:after="0"/>
        <w:jc w:val="center"/>
      </w:pPr>
      <w:r w:rsidRPr="00FD6B28">
        <w:rPr>
          <w:noProof/>
          <w:lang w:eastAsia="fr-FR"/>
        </w:rPr>
        <w:drawing>
          <wp:inline distT="0" distB="0" distL="0" distR="0" wp14:anchorId="2381AF52" wp14:editId="412F9BE1">
            <wp:extent cx="670446" cy="800100"/>
            <wp:effectExtent l="0" t="0" r="0" b="0"/>
            <wp:docPr id="3" name="Image 3" descr="C:\Users\UTILIS~1\AppData\Local\Temp\Rar$DIa0.804\Logo 1 UE 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1\AppData\Local\Temp\Rar$DIa0.804\Logo 1 UE F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519" cy="815701"/>
                    </a:xfrm>
                    <a:prstGeom prst="rect">
                      <a:avLst/>
                    </a:prstGeom>
                    <a:noFill/>
                    <a:ln>
                      <a:noFill/>
                    </a:ln>
                  </pic:spPr>
                </pic:pic>
              </a:graphicData>
            </a:graphic>
          </wp:inline>
        </w:drawing>
      </w:r>
      <w:r w:rsidRPr="00FD6B28">
        <w:rPr>
          <w:noProof/>
          <w:lang w:eastAsia="fr-FR"/>
        </w:rPr>
        <w:drawing>
          <wp:inline distT="0" distB="0" distL="0" distR="0" wp14:anchorId="5A7BDE54" wp14:editId="5D0D2351">
            <wp:extent cx="793868" cy="800070"/>
            <wp:effectExtent l="0" t="0" r="6350" b="635"/>
            <wp:docPr id="4" name="Image 4" descr="C:\Users\UTILIS~1\AppData\Local\Temp\Rar$DIa0.150\Logo 2 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1\AppData\Local\Temp\Rar$DIa0.150\Logo 2 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742" cy="813045"/>
                    </a:xfrm>
                    <a:prstGeom prst="rect">
                      <a:avLst/>
                    </a:prstGeom>
                    <a:noFill/>
                    <a:ln>
                      <a:noFill/>
                    </a:ln>
                  </pic:spPr>
                </pic:pic>
              </a:graphicData>
            </a:graphic>
          </wp:inline>
        </w:drawing>
      </w:r>
      <w:r w:rsidRPr="00FD6B28">
        <w:rPr>
          <w:noProof/>
          <w:lang w:eastAsia="fr-FR"/>
        </w:rPr>
        <w:drawing>
          <wp:inline distT="0" distB="0" distL="0" distR="0" wp14:anchorId="5C10BC5B" wp14:editId="0916D869">
            <wp:extent cx="1378910" cy="714375"/>
            <wp:effectExtent l="0" t="0" r="0" b="0"/>
            <wp:docPr id="5" name="Image 5" descr="C:\Users\UTILIS~1\AppData\Local\Temp\Rar$DIa0.861\Logo 3 GAL SO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1\AppData\Local\Temp\Rar$DIa0.861\Logo 3 GAL SOC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761" cy="721033"/>
                    </a:xfrm>
                    <a:prstGeom prst="rect">
                      <a:avLst/>
                    </a:prstGeom>
                    <a:noFill/>
                    <a:ln>
                      <a:noFill/>
                    </a:ln>
                  </pic:spPr>
                </pic:pic>
              </a:graphicData>
            </a:graphic>
          </wp:inline>
        </w:drawing>
      </w:r>
      <w:r w:rsidRPr="000C1FEC">
        <w:rPr>
          <w:noProof/>
          <w:lang w:eastAsia="fr-FR"/>
        </w:rPr>
        <w:drawing>
          <wp:inline distT="0" distB="0" distL="0" distR="0" wp14:anchorId="4C78F675" wp14:editId="5793B6D3">
            <wp:extent cx="1200150" cy="702633"/>
            <wp:effectExtent l="0" t="0" r="0" b="2540"/>
            <wp:docPr id="7" name="Image 7" descr="C:\Users\Utilisateur\Downloads\logo-e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wnloads\logo-et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2268" cy="715582"/>
                    </a:xfrm>
                    <a:prstGeom prst="rect">
                      <a:avLst/>
                    </a:prstGeom>
                    <a:noFill/>
                    <a:ln>
                      <a:noFill/>
                    </a:ln>
                  </pic:spPr>
                </pic:pic>
              </a:graphicData>
            </a:graphic>
          </wp:inline>
        </w:drawing>
      </w:r>
    </w:p>
    <w:p w:rsidR="000710E5" w:rsidRDefault="000710E5">
      <w:bookmarkStart w:id="0" w:name="_GoBack"/>
      <w:bookmarkEnd w:id="0"/>
    </w:p>
    <w:sectPr w:rsidR="000710E5" w:rsidSect="00902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E5D"/>
    <w:multiLevelType w:val="hybridMultilevel"/>
    <w:tmpl w:val="8048B3C6"/>
    <w:lvl w:ilvl="0" w:tplc="135E3B36">
      <w:start w:val="1"/>
      <w:numFmt w:val="bullet"/>
      <w:lvlText w:val=""/>
      <w:lvlJc w:val="left"/>
      <w:pPr>
        <w:ind w:left="21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16D3C"/>
    <w:multiLevelType w:val="hybridMultilevel"/>
    <w:tmpl w:val="562AF23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972829"/>
    <w:multiLevelType w:val="hybridMultilevel"/>
    <w:tmpl w:val="F2122072"/>
    <w:lvl w:ilvl="0" w:tplc="C3F65E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F13E3F"/>
    <w:multiLevelType w:val="hybridMultilevel"/>
    <w:tmpl w:val="72F24CAC"/>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786935E2"/>
    <w:multiLevelType w:val="hybridMultilevel"/>
    <w:tmpl w:val="99EECB80"/>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90"/>
    <w:rsid w:val="00003F8C"/>
    <w:rsid w:val="000710E5"/>
    <w:rsid w:val="00D93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EE9C3-9A20-40D2-9395-827984D6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3F8C"/>
    <w:pPr>
      <w:ind w:left="720"/>
      <w:contextualSpacing/>
    </w:pPr>
  </w:style>
  <w:style w:type="paragraph" w:customStyle="1" w:styleId="msoaddress">
    <w:name w:val="msoaddress"/>
    <w:rsid w:val="00003F8C"/>
    <w:pPr>
      <w:spacing w:after="0" w:line="240" w:lineRule="auto"/>
    </w:pPr>
    <w:rPr>
      <w:rFonts w:ascii="Gill Sans MT" w:eastAsia="Times New Roman" w:hAnsi="Times New Roman" w:cs="Times New Roman"/>
      <w:color w:val="000000"/>
      <w:kern w:val="28"/>
      <w:sz w:val="16"/>
      <w:szCs w:val="16"/>
      <w:lang w:eastAsia="fr-FR"/>
    </w:rPr>
  </w:style>
  <w:style w:type="character" w:styleId="Lienhypertexte">
    <w:name w:val="Hyperlink"/>
    <w:rsid w:val="00003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benevent@gmail.com" TargetMode="External"/><Relationship Id="rId11" Type="http://schemas.openxmlformats.org/officeDocument/2006/relationships/image" Target="media/image5.jpeg"/><Relationship Id="rId5" Type="http://schemas.openxmlformats.org/officeDocument/2006/relationships/hyperlink" Target="mailto:mairie.benevent@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5232</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2017-04-25T08:13:00Z</dcterms:created>
  <dcterms:modified xsi:type="dcterms:W3CDTF">2017-04-25T08:13:00Z</dcterms:modified>
</cp:coreProperties>
</file>